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7" w:rsidRDefault="007B52B7" w:rsidP="00D968E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8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23857">
        <w:rPr>
          <w:rFonts w:ascii="Times New Roman" w:hAnsi="Times New Roman" w:cs="Times New Roman"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D1981F6" wp14:editId="569BAD62">
            <wp:simplePos x="2581910" y="719455"/>
            <wp:positionH relativeFrom="margin">
              <wp:align>left</wp:align>
            </wp:positionH>
            <wp:positionV relativeFrom="margin">
              <wp:align>top</wp:align>
            </wp:positionV>
            <wp:extent cx="1047750" cy="101092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U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37" cy="101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769FFBA" wp14:editId="08844496">
            <wp:simplePos x="0" y="0"/>
            <wp:positionH relativeFrom="margin">
              <wp:posOffset>3205480</wp:posOffset>
            </wp:positionH>
            <wp:positionV relativeFrom="margin">
              <wp:posOffset>31750</wp:posOffset>
            </wp:positionV>
            <wp:extent cx="1247775" cy="995680"/>
            <wp:effectExtent l="0" t="0" r="9525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a_capital_of_sport_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547E2F1" wp14:editId="41DA1716">
            <wp:simplePos x="0" y="0"/>
            <wp:positionH relativeFrom="margin">
              <wp:posOffset>1310005</wp:posOffset>
            </wp:positionH>
            <wp:positionV relativeFrom="margin">
              <wp:posOffset>3175</wp:posOffset>
            </wp:positionV>
            <wp:extent cx="1628775" cy="98996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4712B" wp14:editId="33667815">
            <wp:simplePos x="0" y="0"/>
            <wp:positionH relativeFrom="margin">
              <wp:posOffset>4691380</wp:posOffset>
            </wp:positionH>
            <wp:positionV relativeFrom="margin">
              <wp:posOffset>-66675</wp:posOffset>
            </wp:positionV>
            <wp:extent cx="1186180" cy="1144905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" r="34729" b="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58F" w:rsidRPr="007B52B7" w:rsidRDefault="00D968EF" w:rsidP="00D968E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56"/>
          <w:szCs w:val="56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B52B7">
        <w:rPr>
          <w:rFonts w:ascii="Times New Roman" w:hAnsi="Times New Roman" w:cs="Times New Roman"/>
          <w:color w:val="0F243E" w:themeColor="text2" w:themeShade="80"/>
          <w:sz w:val="56"/>
          <w:szCs w:val="56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ПОКАНА</w:t>
      </w:r>
    </w:p>
    <w:p w:rsidR="00D968EF" w:rsidRPr="00D968EF" w:rsidRDefault="00D968EF" w:rsidP="00410A0A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 w:rsidRPr="00D968EF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</w:t>
      </w:r>
      <w:r w:rsidR="001E4861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еждууниверситетският</w:t>
      </w:r>
      <w:proofErr w:type="spellEnd"/>
      <w:r w:rsidR="001E4861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институт по</w:t>
      </w:r>
      <w:r w:rsidRPr="00D968EF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мениджмънт на образованието  „</w:t>
      </w:r>
      <w:proofErr w:type="spellStart"/>
      <w:r w:rsidRPr="00D968EF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Интераула</w:t>
      </w:r>
      <w:proofErr w:type="spellEnd"/>
      <w:r w:rsidRPr="00D968EF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410A0A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proofErr w:type="spellStart"/>
      <w:r w:rsidR="00410A0A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МИМО</w:t>
      </w:r>
      <w:proofErr w:type="spellEnd"/>
      <w:r w:rsidR="00410A0A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proofErr w:type="spellStart"/>
      <w:r w:rsidR="00410A0A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Интераула</w:t>
      </w:r>
      <w:proofErr w:type="spellEnd"/>
      <w:r w:rsidR="00410A0A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) </w:t>
      </w:r>
      <w:r w:rsidRPr="00D968EF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кани младежи на възраст от 16 до 35 години за участие в своя текущ проект </w:t>
      </w:r>
    </w:p>
    <w:p w:rsidR="00D968EF" w:rsidRPr="00D968EF" w:rsidRDefault="00D968EF" w:rsidP="00410A0A">
      <w:pPr>
        <w:jc w:val="center"/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968EF"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„ИНКУБАТОР НА ИНТЕГРИРАНИ ОБРАЗОВАТЕЛНИ МРЕЖИ В ГОЛЕМИЯ ГРАД“</w:t>
      </w:r>
    </w:p>
    <w:p w:rsidR="001E4861" w:rsidRPr="00F13241" w:rsidRDefault="00D968EF" w:rsidP="00D968EF">
      <w:pPr>
        <w:spacing w:before="240"/>
        <w:jc w:val="both"/>
        <w:rPr>
          <w:rFonts w:ascii="Times New Roman" w:hAnsi="Times New Roman" w:cs="Times New Roman"/>
          <w:b/>
          <w:i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1E4861" w:rsidRPr="0024389E">
        <w:rPr>
          <w:rFonts w:ascii="Times New Roman" w:hAnsi="Times New Roman" w:cs="Times New Roman"/>
          <w:b/>
          <w:i/>
          <w:sz w:val="28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Защо?</w:t>
      </w:r>
    </w:p>
    <w:p w:rsidR="001E0400" w:rsidRDefault="001E4861" w:rsidP="001E0400">
      <w:pPr>
        <w:spacing w:after="0"/>
        <w:ind w:firstLine="720"/>
        <w:jc w:val="both"/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 територията на голяма София съществуват стотици училища, детски градини и читалища, десетки университети и висши училища, множество културно-просветни</w:t>
      </w:r>
      <w:r w:rsidR="00F13241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квалификационни</w:t>
      </w:r>
      <w:r w:rsidR="00F13241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 обучителни</w:t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центрове</w:t>
      </w:r>
      <w:r w:rsidR="00F13241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Всички те имат сходни цели и дейности, изправени са </w:t>
      </w:r>
      <w:r w:rsidR="009E4C68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често </w:t>
      </w:r>
      <w:r w:rsidR="00F13241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пред аналогични проблеми, но по традиция се стараят да се спра</w:t>
      </w:r>
      <w:r w:rsidR="009E4C68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вят с тях сами, разчитайки </w:t>
      </w:r>
      <w:r w:rsidR="00AA4382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най-вече </w:t>
      </w:r>
      <w:r w:rsidR="009E4C68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 собствен капацитет, ресурси, опит</w:t>
      </w:r>
      <w:r w:rsidR="00AA4382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9E4C68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подкрепи</w:t>
      </w:r>
      <w:r w:rsidR="00AA4382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 системи за достъп</w:t>
      </w:r>
      <w:r w:rsidR="009E4C68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Това принуждава и  хората, които се нуждаят от </w:t>
      </w:r>
      <w:r w:rsidR="00663CB4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техните </w:t>
      </w:r>
      <w:r w:rsidR="009E4C68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образователни услуги и помощ, да инвестират сериозни усилия и време, за да достигнат до тях. </w:t>
      </w:r>
      <w:r w:rsidR="00736226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Затова р</w:t>
      </w:r>
      <w:r w:rsidR="00BF2B09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азпо</w:t>
      </w:r>
      <w:r w:rsidR="00663CB4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късаност</w:t>
      </w:r>
      <w:r w:rsidR="00736226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та</w:t>
      </w:r>
      <w:r w:rsidR="00BF2B09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на образователните подкрепи</w:t>
      </w:r>
      <w:r w:rsidR="00663CB4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BF2B09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учебните среди и ресурси</w:t>
      </w:r>
      <w:r w:rsidR="00663CB4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те</w:t>
      </w:r>
      <w:r w:rsidR="00BF2B09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обременява допълнително хората и обществото, като ограничава тяхната полезност и резултативност, </w:t>
      </w:r>
      <w:r w:rsidR="00663CB4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затруднява управлението и комуникацията, </w:t>
      </w:r>
      <w:r w:rsidR="00BF2B09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 същевременно оскъпява </w:t>
      </w:r>
      <w:r w:rsidR="00AA4382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тяхното </w:t>
      </w:r>
      <w:r w:rsidR="00736226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съществуване и </w:t>
      </w:r>
      <w:r w:rsidR="00BF2B09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ползване. </w:t>
      </w:r>
    </w:p>
    <w:p w:rsidR="001854B7" w:rsidRPr="00AD4025" w:rsidRDefault="001E0400" w:rsidP="001E0400">
      <w:pPr>
        <w:pStyle w:val="HTML"/>
        <w:jc w:val="both"/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663CB4" w:rsidRPr="001854B7">
        <w:rPr>
          <w:rFonts w:ascii="Times New Roman" w:hAnsi="Times New Roman" w:cs="Times New Roman"/>
          <w:sz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Но това не е само български проблем. </w:t>
      </w:r>
      <w:r w:rsidRPr="001854B7">
        <w:rPr>
          <w:rFonts w:ascii="Times New Roman" w:hAnsi="Times New Roman" w:cs="Times New Roman"/>
          <w:sz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 момента повече от половината население на света живее в градовете. Населението на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Xoнĸoнг</w:t>
      </w:r>
      <w:proofErr w:type="spellEnd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Cингaпyp</w:t>
      </w:r>
      <w:proofErr w:type="spellEnd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Бepмyдcĸитe</w:t>
      </w:r>
      <w:proofErr w:type="spellEnd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ocтpoви</w:t>
      </w:r>
      <w:proofErr w:type="spellEnd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Maĸao</w:t>
      </w:r>
      <w:proofErr w:type="spellEnd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Kaймaнoвитe</w:t>
      </w:r>
      <w:proofErr w:type="spellEnd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ocтpoви</w:t>
      </w:r>
      <w:proofErr w:type="spellEnd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Cинт</w:t>
      </w:r>
      <w:proofErr w:type="spellEnd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Mapтeн</w:t>
      </w:r>
      <w:proofErr w:type="spellEnd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 </w:t>
      </w:r>
      <w:proofErr w:type="spellStart"/>
      <w:r w:rsidR="001854B7" w:rsidRPr="001854B7">
        <w:rPr>
          <w:rFonts w:ascii="Times New Roman" w:hAnsi="Times New Roman" w:cs="Times New Roman"/>
          <w:color w:val="244061" w:themeColor="accent1" w:themeShade="8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Moнaĸo</w:t>
      </w:r>
      <w:proofErr w:type="spellEnd"/>
      <w:r w:rsidR="001854B7" w:rsidRPr="001854B7">
        <w:rPr>
          <w:rFonts w:ascii="Times New Roman" w:hAnsi="Times New Roman" w:cs="Times New Roman"/>
          <w:sz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854B7">
        <w:rPr>
          <w:rFonts w:ascii="Times New Roman" w:hAnsi="Times New Roman" w:cs="Times New Roman"/>
          <w:sz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обитава изцяло урбанизирани територии</w:t>
      </w:r>
      <w:r w:rsidRPr="001854B7">
        <w:rPr>
          <w:rFonts w:ascii="Times New Roman" w:hAnsi="Times New Roman" w:cs="Times New Roman"/>
          <w:color w:val="244061" w:themeColor="accent1" w:themeShade="80"/>
          <w:sz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България също </w:t>
      </w:r>
      <w:r w:rsidR="006A2786">
        <w:rPr>
          <w:rFonts w:ascii="Times New Roman" w:hAnsi="Times New Roman" w:cs="Times New Roman"/>
          <w:color w:val="244061" w:themeColor="accent1" w:themeShade="80"/>
          <w:sz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е сред </w:t>
      </w:r>
      <w:r w:rsidR="006A2786" w:rsidRPr="00AD4025">
        <w:rPr>
          <w:rFonts w:ascii="Times New Roman" w:hAnsi="Times New Roman" w:cs="Times New Roman"/>
          <w:color w:val="244061" w:themeColor="accent1" w:themeShade="80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държавите</w:t>
      </w:r>
      <w:r w:rsidRPr="00AD4025">
        <w:rPr>
          <w:rFonts w:ascii="Times New Roman" w:hAnsi="Times New Roman" w:cs="Times New Roman"/>
          <w:color w:val="244061" w:themeColor="accent1" w:themeShade="80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 изключително висок процент на градс</w:t>
      </w:r>
      <w:r w:rsidR="006A2786" w:rsidRPr="00AD4025">
        <w:rPr>
          <w:rFonts w:ascii="Times New Roman" w:hAnsi="Times New Roman" w:cs="Times New Roman"/>
          <w:color w:val="244061" w:themeColor="accent1" w:themeShade="80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 население, като със своите 74</w:t>
      </w:r>
      <w:r w:rsidRPr="00AD4025">
        <w:rPr>
          <w:rFonts w:ascii="Times New Roman" w:hAnsi="Times New Roman" w:cs="Times New Roman"/>
          <w:color w:val="244061" w:themeColor="accent1" w:themeShade="80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% </w:t>
      </w:r>
      <w:r w:rsidR="006A2786" w:rsidRPr="00AD4025">
        <w:rPr>
          <w:rFonts w:ascii="Times New Roman" w:hAnsi="Times New Roman" w:cs="Times New Roman"/>
          <w:color w:val="244061" w:themeColor="accent1" w:themeShade="80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(2014) </w:t>
      </w:r>
      <w:r w:rsidRPr="00AD4025">
        <w:rPr>
          <w:rFonts w:ascii="Times New Roman" w:hAnsi="Times New Roman" w:cs="Times New Roman"/>
          <w:color w:val="244061" w:themeColor="accent1" w:themeShade="80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сериозно надхвърля средните стойности в световен мащаб. Това огромно струпване на хора, ресурси, среди и подкрепи в градовете изисква сериозни и постоянни уси</w:t>
      </w:r>
      <w:r w:rsidR="001854B7" w:rsidRPr="00AD4025">
        <w:rPr>
          <w:rFonts w:ascii="Times New Roman" w:hAnsi="Times New Roman" w:cs="Times New Roman"/>
          <w:color w:val="244061" w:themeColor="accent1" w:themeShade="80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лия за тяхното добро системно управление.</w:t>
      </w:r>
      <w:r w:rsidRPr="00AD4025">
        <w:rPr>
          <w:rFonts w:ascii="Times New Roman" w:hAnsi="Times New Roman" w:cs="Times New Roman"/>
          <w:color w:val="244061" w:themeColor="accent1" w:themeShade="80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D69A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Не случайно </w:t>
      </w:r>
      <w:r w:rsidR="00073A85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от 2013 г. </w:t>
      </w:r>
      <w:r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ЮНЕСКО стартира</w:t>
      </w:r>
      <w:r w:rsidR="008D04C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глобалн</w:t>
      </w:r>
      <w:r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ата си инициатива </w:t>
      </w:r>
      <w:r w:rsidR="008D04C2" w:rsidRPr="00AD4025">
        <w:rPr>
          <w:rFonts w:ascii="Times New Roman" w:hAnsi="Times New Roman" w:cs="Times New Roman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8D04C2" w:rsidRPr="00AD4025">
        <w:rPr>
          <w:rFonts w:ascii="Times New Roman" w:hAnsi="Times New Roman" w:cs="Times New Roman"/>
          <w:i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Learning Cities</w:t>
      </w:r>
      <w:r w:rsidR="008D04C2" w:rsidRPr="00AD4025">
        <w:rPr>
          <w:rFonts w:ascii="Times New Roman" w:hAnsi="Times New Roman" w:cs="Times New Roman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  <w:r w:rsidR="00ED69A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r w:rsidR="00ED69A9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Учещи градове</w:t>
      </w:r>
      <w:r w:rsidR="00ED69A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  <w:r w:rsidR="008D04C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чрез която се стимулира партньорството и работата в широки </w:t>
      </w:r>
      <w:r w:rsidR="00BF2B0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образователни </w:t>
      </w:r>
      <w:r w:rsidR="00AA438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градски </w:t>
      </w:r>
      <w:r w:rsidR="008D04C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мрежи между всички хора, организации и институции, които произвеждат и разпространяват полезни знания и опит в богатите на ресурси и среди </w:t>
      </w:r>
      <w:r w:rsidR="00736226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големи</w:t>
      </w:r>
      <w:r w:rsidR="008D04C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A438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</w:t>
      </w:r>
      <w:r w:rsidR="00736226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радски</w:t>
      </w:r>
      <w:r w:rsidR="00AA438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ареали</w:t>
      </w:r>
      <w:r w:rsidR="008D04C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Понастоящем </w:t>
      </w:r>
      <w:r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мрежата </w:t>
      </w:r>
      <w:r w:rsidR="008D04C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обхваща над </w:t>
      </w:r>
      <w:r w:rsidR="008D04C2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1000 у</w:t>
      </w:r>
      <w:r w:rsidR="00BF2B09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чещи</w:t>
      </w:r>
      <w:r w:rsidR="008D04C2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градове</w:t>
      </w:r>
      <w:r w:rsidR="008D04C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D04C2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 ареали в целия свят, </w:t>
      </w:r>
      <w:r w:rsidR="00BF2B0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чиито жители и лидери са избрали да развиват градовете си като </w:t>
      </w:r>
      <w:r w:rsidR="00BF2B09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екосистеми за учещите през </w:t>
      </w:r>
      <w:r w:rsidR="00223857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целия </w:t>
      </w:r>
      <w:r w:rsidR="00BF2B09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 в целия живот хора</w:t>
      </w:r>
      <w:r w:rsidR="00BF2B0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За съжаление</w:t>
      </w:r>
      <w:r w:rsidR="001854B7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BF2B0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до момента </w:t>
      </w:r>
      <w:r w:rsidR="00742EBA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София </w:t>
      </w:r>
      <w:r w:rsidR="00BF2B0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не е част от нея. Време е да променим това, като помогнем на нашата столица да се подготви за членство в мрежата. </w:t>
      </w:r>
    </w:p>
    <w:p w:rsidR="001E4861" w:rsidRDefault="001854B7" w:rsidP="001E0400">
      <w:pPr>
        <w:pStyle w:val="HTML"/>
        <w:jc w:val="both"/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BF2B0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Затова настоящият проект цели да събере хора и идеи, за да изградим </w:t>
      </w:r>
      <w:r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 общи усилия </w:t>
      </w:r>
      <w:r w:rsidR="00BF2B09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уникалния об</w:t>
      </w:r>
      <w:r w:rsidR="00AA438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раз на </w:t>
      </w:r>
      <w:r w:rsidR="00AA4382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София като учещ се град</w:t>
      </w:r>
      <w:r w:rsidR="00736226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36226" w:rsidRPr="00AD4025">
        <w:rPr>
          <w:rFonts w:ascii="Times New Roman" w:hAnsi="Times New Roman" w:cs="Times New Roman"/>
          <w:i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 толерантността и мъдростта</w:t>
      </w:r>
      <w:r w:rsidR="00AA4382" w:rsidRPr="00AD4025">
        <w:rPr>
          <w:rFonts w:ascii="Times New Roman" w:hAnsi="Times New Roman" w:cs="Times New Roman"/>
          <w:sz w:val="22"/>
          <w:szCs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AA4382" w:rsidRPr="005E78E0">
        <w:rPr>
          <w:rFonts w:ascii="Times New Roman" w:hAnsi="Times New Roman" w:cs="Times New Roman"/>
          <w:sz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в който функционират стабилни тематични мрежи в сферите на най-значимите приоритети за нашия град - здравеопазване, екология, технологично развитие, професионално ориентиране и кариерно развитие, икономика и предприемачество, култура и свободно време, приобщаваща и достъпна образователна среда.</w:t>
      </w:r>
      <w:r w:rsidR="00A97B67" w:rsidRPr="005E78E0">
        <w:rPr>
          <w:rFonts w:ascii="Times New Roman" w:hAnsi="Times New Roman" w:cs="Times New Roman"/>
          <w:sz w:val="2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17331" w:rsidRPr="0024389E" w:rsidRDefault="00F17331" w:rsidP="001E4861">
      <w:pPr>
        <w:spacing w:before="240"/>
        <w:ind w:firstLine="720"/>
        <w:jc w:val="both"/>
        <w:rPr>
          <w:rFonts w:ascii="Times New Roman" w:hAnsi="Times New Roman" w:cs="Times New Roman"/>
          <w:b/>
          <w:i/>
          <w:sz w:val="28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4389E">
        <w:rPr>
          <w:rFonts w:ascii="Times New Roman" w:hAnsi="Times New Roman" w:cs="Times New Roman"/>
          <w:b/>
          <w:i/>
          <w:sz w:val="28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Какво?</w:t>
      </w:r>
    </w:p>
    <w:p w:rsidR="000E24B0" w:rsidRPr="005E78E0" w:rsidRDefault="00D968EF" w:rsidP="00473CA8">
      <w:pPr>
        <w:spacing w:before="240" w:after="0"/>
        <w:ind w:firstLine="720"/>
        <w:jc w:val="both"/>
        <w:rPr>
          <w:rFonts w:ascii="Times New Roman" w:hAnsi="Times New Roman" w:cs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ИНКУБАТОРЪТ ще даде възможност на младите хора да </w:t>
      </w:r>
      <w:r w:rsidR="00F17331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(до)</w:t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развият свои иновационни идеи за работа в </w:t>
      </w:r>
      <w:r w:rsidR="00473CA8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широки </w:t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учещи мрежи </w:t>
      </w:r>
      <w:r w:rsidR="00473CA8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 територията на голяма София в три тематични направления: „зелени и здравословни градове“, „равноправни и приобщаващи учещи градове“ и „достойна работа и предприемачество в учещия град</w:t>
      </w:r>
      <w:r w:rsidR="00473CA8" w:rsidRPr="005E78E0">
        <w:rPr>
          <w:rFonts w:ascii="Times New Roman" w:hAnsi="Times New Roman" w:cs="Times New Roman"/>
          <w:color w:val="0F243E" w:themeColor="text2" w:themeShade="80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“. </w:t>
      </w:r>
      <w:r w:rsidR="000E24B0" w:rsidRPr="005E78E0">
        <w:rPr>
          <w:rFonts w:ascii="Times New Roman" w:hAnsi="Times New Roman" w:cs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 всяка от трите ключови теми ще бъдат сформирани минимум 2 екипа със следните (предварителни) тематични фокуси:</w:t>
      </w:r>
    </w:p>
    <w:p w:rsidR="000E24B0" w:rsidRPr="005E78E0" w:rsidRDefault="000E24B0" w:rsidP="000E24B0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i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Зелени и здравословни учещи градове</w:t>
      </w:r>
    </w:p>
    <w:p w:rsidR="000E24B0" w:rsidRPr="005E78E0" w:rsidRDefault="000E24B0" w:rsidP="000E24B0">
      <w:pPr>
        <w:pStyle w:val="a7"/>
        <w:numPr>
          <w:ilvl w:val="1"/>
          <w:numId w:val="2"/>
        </w:numPr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Интегрирани градски мрежи за здравно и екологично образование;</w:t>
      </w:r>
    </w:p>
    <w:p w:rsidR="000E24B0" w:rsidRPr="005E78E0" w:rsidRDefault="000E24B0" w:rsidP="000E24B0">
      <w:pPr>
        <w:pStyle w:val="a7"/>
        <w:numPr>
          <w:ilvl w:val="1"/>
          <w:numId w:val="2"/>
        </w:numPr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Интегрирани градски мрежи за спорт, туризъм и здравословен начин на живот;</w:t>
      </w:r>
    </w:p>
    <w:p w:rsidR="000E24B0" w:rsidRPr="005E78E0" w:rsidRDefault="000E24B0" w:rsidP="000E24B0">
      <w:pPr>
        <w:pStyle w:val="a7"/>
        <w:numPr>
          <w:ilvl w:val="1"/>
          <w:numId w:val="2"/>
        </w:numPr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Интегрирани градски образователни пространства,  ареали и технологии;</w:t>
      </w:r>
    </w:p>
    <w:p w:rsidR="000E24B0" w:rsidRPr="005E78E0" w:rsidRDefault="000E24B0" w:rsidP="000E24B0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i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Равноправни и приобщаващи учещи градове</w:t>
      </w:r>
    </w:p>
    <w:p w:rsidR="000E24B0" w:rsidRPr="005E78E0" w:rsidRDefault="000E24B0" w:rsidP="000E24B0">
      <w:pPr>
        <w:pStyle w:val="a7"/>
        <w:numPr>
          <w:ilvl w:val="1"/>
          <w:numId w:val="2"/>
        </w:numPr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Интегрирани градски мрежи за приобщаващо образование;</w:t>
      </w:r>
    </w:p>
    <w:p w:rsidR="000E24B0" w:rsidRPr="005E78E0" w:rsidRDefault="000E24B0" w:rsidP="000E24B0">
      <w:pPr>
        <w:pStyle w:val="a7"/>
        <w:numPr>
          <w:ilvl w:val="1"/>
          <w:numId w:val="2"/>
        </w:numPr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Интегрирани градски мрежи за гражданско</w:t>
      </w:r>
      <w:r w:rsidR="00473CA8"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културно</w:t>
      </w:r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 (</w:t>
      </w:r>
      <w:proofErr w:type="spellStart"/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интер</w:t>
      </w:r>
      <w:proofErr w:type="spellEnd"/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)културно образование;</w:t>
      </w:r>
    </w:p>
    <w:p w:rsidR="000E24B0" w:rsidRPr="005E78E0" w:rsidRDefault="000E24B0" w:rsidP="000E24B0">
      <w:pPr>
        <w:pStyle w:val="a7"/>
        <w:numPr>
          <w:ilvl w:val="1"/>
          <w:numId w:val="2"/>
        </w:numPr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 w:cs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Интегрирани мрежи за образование по науки и технологии</w:t>
      </w:r>
      <w:r w:rsidR="00473CA8" w:rsidRPr="005E78E0">
        <w:rPr>
          <w:rFonts w:ascii="Times New Roman" w:hAnsi="Times New Roman"/>
          <w:i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0E24B0" w:rsidRPr="005E78E0" w:rsidRDefault="000E24B0" w:rsidP="000E24B0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i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Достойна работа и предприемачество в учещия град</w:t>
      </w:r>
    </w:p>
    <w:p w:rsidR="000E24B0" w:rsidRPr="005E78E0" w:rsidRDefault="000E24B0" w:rsidP="000E24B0">
      <w:pPr>
        <w:pStyle w:val="a7"/>
        <w:numPr>
          <w:ilvl w:val="1"/>
          <w:numId w:val="2"/>
        </w:numPr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Интегрирани градски мрежи за професионално образование и кариерно ориентиране;</w:t>
      </w:r>
    </w:p>
    <w:p w:rsidR="000E24B0" w:rsidRPr="005E78E0" w:rsidRDefault="000E24B0" w:rsidP="000E24B0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Интегрирани градски мрежи за образование и обучение по предприемачество;</w:t>
      </w:r>
    </w:p>
    <w:p w:rsidR="000E24B0" w:rsidRPr="005E78E0" w:rsidRDefault="000E24B0" w:rsidP="000E24B0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/>
          <w:color w:val="0F243E" w:themeColor="text2" w:themeShade="80"/>
          <w:szCs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Интегрирани градски мрежи за учене през целия живот.</w:t>
      </w:r>
    </w:p>
    <w:p w:rsidR="000E24B0" w:rsidRPr="005E78E0" w:rsidRDefault="00473CA8" w:rsidP="00473C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За целта всеки младежки екип ще има подкрепата на своите ментори, които ще са специалисти в съответното тематично направление, а така също и на консултантски екип от експерти по управление на образованието, предприемачество и работа в мрежа.  </w:t>
      </w:r>
      <w:r w:rsidR="003F3ADB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Широко ще бъде използван опитът на глобалната мрежа на учещите градове </w:t>
      </w:r>
      <w:r w:rsidR="003F3ADB" w:rsidRPr="009845B1">
        <w:rPr>
          <w:rFonts w:ascii="Times New Roman" w:hAnsi="Times New Roman" w:cs="Times New Roman"/>
          <w:i/>
          <w:color w:val="1F497D" w:themeColor="text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</w:t>
      </w:r>
      <w:hyperlink r:id="rId10" w:history="1">
        <w:r w:rsidR="003F3ADB" w:rsidRPr="009845B1">
          <w:rPr>
            <w:rStyle w:val="a3"/>
            <w:i/>
            <w:color w:val="1F497D" w:themeColor="text2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http://uil.unesco.org/lifelong-learning/learning-cities/build-learning-city</w:t>
        </w:r>
      </w:hyperlink>
      <w:r w:rsidR="003F3ADB" w:rsidRPr="009845B1">
        <w:rPr>
          <w:i/>
          <w:color w:val="1F497D" w:themeColor="text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  <w:r w:rsidR="003F3ADB" w:rsidRPr="009845B1">
        <w:rPr>
          <w:rFonts w:ascii="Times New Roman" w:hAnsi="Times New Roman" w:cs="Times New Roman"/>
          <w:i/>
          <w:color w:val="1F497D" w:themeColor="text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3F3ADB" w:rsidRPr="009845B1">
        <w:rPr>
          <w:rFonts w:ascii="Times New Roman" w:hAnsi="Times New Roman" w:cs="Times New Roman"/>
          <w:color w:val="1F497D" w:themeColor="text2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края на проекта всеки екип ще представи своите предложения пред широка публика, като най-добрите разработки ще бъдат подкрепени да кандидатстват по спонсорски младежки конкурси на Столична община през 2020 г.</w:t>
      </w:r>
    </w:p>
    <w:p w:rsidR="00F17331" w:rsidRPr="00663CB4" w:rsidRDefault="00F17331" w:rsidP="00D968EF">
      <w:pPr>
        <w:spacing w:before="240"/>
        <w:jc w:val="both"/>
        <w:rPr>
          <w:rFonts w:ascii="Times New Roman" w:hAnsi="Times New Roman" w:cs="Times New Roman"/>
          <w:i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17331">
        <w:rPr>
          <w:rFonts w:ascii="Times New Roman" w:hAnsi="Times New Roman" w:cs="Times New Roman"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24389E">
        <w:rPr>
          <w:rFonts w:ascii="Times New Roman" w:hAnsi="Times New Roman" w:cs="Times New Roman"/>
          <w:b/>
          <w:i/>
          <w:sz w:val="28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Кога?</w:t>
      </w:r>
      <w:r w:rsidR="00663CB4">
        <w:rPr>
          <w:rFonts w:ascii="Times New Roman" w:hAnsi="Times New Roman" w:cs="Times New Roman"/>
          <w:b/>
          <w:i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63CB4">
        <w:rPr>
          <w:rFonts w:ascii="Times New Roman" w:hAnsi="Times New Roman" w:cs="Times New Roman"/>
          <w:i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(ключови дати и периоди)</w:t>
      </w:r>
    </w:p>
    <w:p w:rsidR="00736226" w:rsidRPr="005E78E0" w:rsidRDefault="00736226" w:rsidP="008C0D19">
      <w:pPr>
        <w:spacing w:before="240" w:line="240" w:lineRule="auto"/>
        <w:jc w:val="both"/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 w:cs="Times New Roman"/>
          <w:b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22 май 2019 г. </w:t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(сряда), 9:00 – 15:30 ч. – работен семинар за менторите и консултантите</w:t>
      </w:r>
    </w:p>
    <w:p w:rsidR="00F17331" w:rsidRPr="005E78E0" w:rsidRDefault="00F17331" w:rsidP="008C0D19">
      <w:pPr>
        <w:spacing w:before="240" w:line="240" w:lineRule="auto"/>
        <w:jc w:val="both"/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 w:cs="Times New Roman"/>
          <w:b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 юни 2019 г.</w:t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(неделя), 15 – 18 ч. – информационен полуден за кандидатите</w:t>
      </w:r>
      <w:r w:rsidR="001835B2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за младежки екипи</w:t>
      </w:r>
    </w:p>
    <w:p w:rsidR="00F17331" w:rsidRPr="005E78E0" w:rsidRDefault="00410A0A" w:rsidP="008C0D19">
      <w:pPr>
        <w:spacing w:before="240" w:line="240" w:lineRule="auto"/>
        <w:jc w:val="both"/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 w:cs="Times New Roman"/>
          <w:b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Ю</w:t>
      </w:r>
      <w:r w:rsidR="00F17331" w:rsidRPr="005E78E0">
        <w:rPr>
          <w:rFonts w:ascii="Times New Roman" w:hAnsi="Times New Roman" w:cs="Times New Roman"/>
          <w:b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ни –октомври 2019 г. – </w:t>
      </w:r>
      <w:r w:rsidR="00736226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период на</w:t>
      </w:r>
      <w:r w:rsidR="00736226" w:rsidRPr="005E78E0">
        <w:rPr>
          <w:rFonts w:ascii="Times New Roman" w:hAnsi="Times New Roman" w:cs="Times New Roman"/>
          <w:b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17331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самостоятелна работа по групи</w:t>
      </w:r>
      <w:r w:rsidR="00736226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/екипи</w:t>
      </w:r>
      <w:r w:rsidR="00F17331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 подкрепата на менторите, консултантите и онлайн платформа от ресурси и информационни материали</w:t>
      </w:r>
    </w:p>
    <w:p w:rsidR="00410A0A" w:rsidRPr="005E78E0" w:rsidRDefault="00410A0A" w:rsidP="008C0D19">
      <w:pPr>
        <w:spacing w:before="240" w:line="240" w:lineRule="auto"/>
        <w:jc w:val="both"/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E78E0">
        <w:rPr>
          <w:rFonts w:ascii="Times New Roman" w:hAnsi="Times New Roman" w:cs="Times New Roman"/>
          <w:b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Началото на ноември 2019 г.</w:t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 еднодневни тематични творчески ателиета, в рамките на които екипните идеи ще се </w:t>
      </w:r>
      <w:proofErr w:type="spellStart"/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финализират</w:t>
      </w:r>
      <w:proofErr w:type="spellEnd"/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 </w:t>
      </w:r>
      <w:proofErr w:type="spellStart"/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презентират</w:t>
      </w:r>
      <w:proofErr w:type="spellEnd"/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публично.</w:t>
      </w:r>
    </w:p>
    <w:p w:rsidR="00410A0A" w:rsidRPr="00410A0A" w:rsidRDefault="00410A0A" w:rsidP="00D968EF">
      <w:pPr>
        <w:spacing w:before="240"/>
        <w:jc w:val="both"/>
        <w:rPr>
          <w:rFonts w:ascii="Times New Roman" w:hAnsi="Times New Roman" w:cs="Times New Roman"/>
          <w:b/>
          <w:i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24389E">
        <w:rPr>
          <w:rFonts w:ascii="Times New Roman" w:hAnsi="Times New Roman" w:cs="Times New Roman"/>
          <w:b/>
          <w:i/>
          <w:sz w:val="28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Как можете да </w:t>
      </w:r>
      <w:r w:rsidR="005D2F7F" w:rsidRPr="0024389E">
        <w:rPr>
          <w:rFonts w:ascii="Times New Roman" w:hAnsi="Times New Roman" w:cs="Times New Roman"/>
          <w:b/>
          <w:i/>
          <w:sz w:val="28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участвате</w:t>
      </w:r>
      <w:r w:rsidRPr="0024389E">
        <w:rPr>
          <w:rFonts w:ascii="Times New Roman" w:hAnsi="Times New Roman" w:cs="Times New Roman"/>
          <w:b/>
          <w:i/>
          <w:sz w:val="28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?</w:t>
      </w:r>
    </w:p>
    <w:p w:rsidR="00D968EF" w:rsidRPr="00D968EF" w:rsidRDefault="00410A0A" w:rsidP="005E78E0">
      <w:pPr>
        <w:spacing w:before="240"/>
        <w:jc w:val="both"/>
        <w:rPr>
          <w:rFonts w:ascii="Times New Roman" w:hAnsi="Times New Roman" w:cs="Times New Roman"/>
          <w:b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Достатъчно е да попълните формуляра за кандидатстване и го изпратите не по-късно от </w:t>
      </w:r>
      <w:r w:rsidR="00060829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bookmarkStart w:id="0" w:name="_GoBack"/>
      <w:bookmarkEnd w:id="0"/>
      <w:r w:rsidR="0066758F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май</w:t>
      </w:r>
      <w:r w:rsidRPr="005E78E0">
        <w:rPr>
          <w:rFonts w:ascii="Times New Roman" w:hAnsi="Times New Roman" w:cs="Times New Roman"/>
          <w:b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2019</w:t>
      </w:r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г. на имейл адреса на </w:t>
      </w:r>
      <w:proofErr w:type="spellStart"/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МИМО</w:t>
      </w:r>
      <w:proofErr w:type="spellEnd"/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proofErr w:type="spellStart"/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Интераула</w:t>
      </w:r>
      <w:proofErr w:type="spellEnd"/>
      <w:r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hyperlink r:id="rId11" w:history="1">
        <w:r w:rsidR="004220D6" w:rsidRPr="00F55407">
          <w:rPr>
            <w:rStyle w:val="a3"/>
            <w:rFonts w:ascii="Times New Roman" w:hAnsi="Times New Roman" w:cs="Times New Roman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mimointeraulaproject@gmail.com</w:t>
        </w:r>
      </w:hyperlink>
      <w:r w:rsidR="007C59AA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 тема</w:t>
      </w:r>
      <w:r w:rsidR="007C59AA"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proofErr w:type="spellStart"/>
      <w:r w:rsidR="007C59AA" w:rsidRPr="007C59AA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IncubatorApp</w:t>
      </w:r>
      <w:proofErr w:type="spellEnd"/>
      <w:r w:rsidR="005D2F7F" w:rsidRPr="007C59AA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5D2F7F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а на </w:t>
      </w:r>
      <w:r w:rsidR="005D2F7F" w:rsidRPr="00C05E55">
        <w:rPr>
          <w:rFonts w:ascii="Times New Roman" w:hAnsi="Times New Roman" w:cs="Times New Roman"/>
          <w:b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 юни 2019</w:t>
      </w:r>
      <w:r w:rsidR="005D2F7F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г. ви очакваме на информационен полуден за кандидатите за младежките тематични групи, когато ще стане и окончателната селекция на участниците.</w:t>
      </w:r>
      <w:r w:rsidR="000E24B0" w:rsidRPr="005E78E0">
        <w:rPr>
          <w:rFonts w:ascii="Times New Roman" w:hAnsi="Times New Roman" w:cs="Times New Roman"/>
          <w:lang w:val="bg-B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Поканата за събитието ще получите до края на м. април 2019 г.</w:t>
      </w:r>
    </w:p>
    <w:sectPr w:rsidR="00D968EF" w:rsidRPr="00D968EF" w:rsidSect="00EF6FC6"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D61"/>
    <w:multiLevelType w:val="hybridMultilevel"/>
    <w:tmpl w:val="DF72B59C"/>
    <w:lvl w:ilvl="0" w:tplc="7458B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104E"/>
    <w:multiLevelType w:val="hybridMultilevel"/>
    <w:tmpl w:val="526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EF"/>
    <w:rsid w:val="00060829"/>
    <w:rsid w:val="00073A85"/>
    <w:rsid w:val="000A48EE"/>
    <w:rsid w:val="000E24B0"/>
    <w:rsid w:val="001835B2"/>
    <w:rsid w:val="001854B7"/>
    <w:rsid w:val="001E0400"/>
    <w:rsid w:val="001E4861"/>
    <w:rsid w:val="00223857"/>
    <w:rsid w:val="0024389E"/>
    <w:rsid w:val="003317A2"/>
    <w:rsid w:val="003F3ADB"/>
    <w:rsid w:val="00410A0A"/>
    <w:rsid w:val="004220D6"/>
    <w:rsid w:val="00473CA8"/>
    <w:rsid w:val="005136A5"/>
    <w:rsid w:val="00513D1E"/>
    <w:rsid w:val="005D2F7F"/>
    <w:rsid w:val="005E78E0"/>
    <w:rsid w:val="00663CB4"/>
    <w:rsid w:val="0066758F"/>
    <w:rsid w:val="006A2786"/>
    <w:rsid w:val="00736226"/>
    <w:rsid w:val="00742EBA"/>
    <w:rsid w:val="007B52B7"/>
    <w:rsid w:val="007C59AA"/>
    <w:rsid w:val="00873D54"/>
    <w:rsid w:val="008A240C"/>
    <w:rsid w:val="008C0D19"/>
    <w:rsid w:val="008D04C2"/>
    <w:rsid w:val="008D49C8"/>
    <w:rsid w:val="009149F8"/>
    <w:rsid w:val="009225B5"/>
    <w:rsid w:val="009845B1"/>
    <w:rsid w:val="009E4C68"/>
    <w:rsid w:val="009F3CF6"/>
    <w:rsid w:val="00A97B67"/>
    <w:rsid w:val="00AA4382"/>
    <w:rsid w:val="00AD4025"/>
    <w:rsid w:val="00B718E9"/>
    <w:rsid w:val="00BF2B09"/>
    <w:rsid w:val="00C05E55"/>
    <w:rsid w:val="00C21042"/>
    <w:rsid w:val="00D968EF"/>
    <w:rsid w:val="00ED69A9"/>
    <w:rsid w:val="00EF6FC6"/>
    <w:rsid w:val="00F13241"/>
    <w:rsid w:val="00F17331"/>
    <w:rsid w:val="00F22F53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9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10A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38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2F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1E040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9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10A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38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2F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1E04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mimointeraulaprojec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il.unesco.org/lifelong-learning/learning-cities/build-learning-c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2019-04-19T16:41:00Z</dcterms:created>
  <dcterms:modified xsi:type="dcterms:W3CDTF">2019-05-12T15:22:00Z</dcterms:modified>
</cp:coreProperties>
</file>